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26" w:rsidRPr="00CB3A26" w:rsidRDefault="00CB3A26" w:rsidP="00CB3A2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19191A"/>
          <w:sz w:val="28"/>
          <w:szCs w:val="28"/>
        </w:rPr>
      </w:pPr>
      <w:r>
        <w:rPr>
          <w:rFonts w:ascii="Times New Roman" w:hAnsi="Times New Roman" w:cs="Times New Roman"/>
          <w:color w:val="19191A"/>
          <w:sz w:val="28"/>
          <w:szCs w:val="28"/>
        </w:rPr>
        <w:t xml:space="preserve">Criteri per la </w:t>
      </w:r>
      <w:bookmarkStart w:id="0" w:name="_GoBack"/>
      <w:bookmarkEnd w:id="0"/>
      <w:r>
        <w:rPr>
          <w:rFonts w:ascii="Times New Roman" w:hAnsi="Times New Roman" w:cs="Times New Roman"/>
          <w:color w:val="19191A"/>
          <w:sz w:val="28"/>
          <w:szCs w:val="28"/>
        </w:rPr>
        <w:t>conduzione dell’esame orale</w:t>
      </w:r>
    </w:p>
    <w:p w:rsidR="00CB3A26" w:rsidRDefault="00CB3A26" w:rsidP="00CB3A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 xml:space="preserve">La prova orale è finalizzata a verificare il livello di padronanza degli obiettivi e dei traguardi di competenza previsti dalle Indicazioni Nazionali come declinati dal Curricolo d’Istituto e dalla programmazione specifica dei Consigli di classe. Nel corso del colloquio è accertato anche il livello di padronanza delle competenze relative alla lingua inglese e alla seconda lingua comunitaria, nonché delle competenze relative all’insegnamento dell’educazione civica. </w:t>
      </w:r>
    </w:p>
    <w:p w:rsidR="00CB3A26" w:rsidRDefault="00CB3A26" w:rsidP="00CB3A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Le sottocommissioni valuteranno il colloquio anche in base ai seguenti criteri, definiti dalla normativa vigente: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Originalità dei contenuti.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Chiarezza espositiva.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Competenze comunicative.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Capacità di argomentazione, di pensiero critico e riflessivo.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Capacità di risoluzione dei problemi.</w:t>
      </w:r>
    </w:p>
    <w:p w:rsidR="00CB3A26" w:rsidRDefault="00CB3A26" w:rsidP="00CB3A26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Competenza logica nell’organizzazione dei concetti e nei collegamenti pluridisciplinari.</w:t>
      </w:r>
    </w:p>
    <w:p w:rsidR="00CB3A26" w:rsidRDefault="00CB3A26" w:rsidP="00CB3A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Per i percorsi a indirizzo musicale, nell’ambito del colloquio è previsto anche lo svolgimento di una prova pratica di strumento.</w:t>
      </w:r>
    </w:p>
    <w:p w:rsidR="00CB3A26" w:rsidRDefault="00CB3A26" w:rsidP="00CB3A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Per i candidati con disabilità e con disturbi specifici di apprendimento, l’esame di Stato si svolge con le modalità previste dall’art. 14 del </w:t>
      </w:r>
      <w:hyperlink r:id="rId5" w:history="1">
        <w:r>
          <w:rPr>
            <w:rStyle w:val="Collegamentoipertestuale"/>
            <w:rFonts w:ascii="Times New Roman" w:hAnsi="Times New Roman" w:cs="Times New Roman"/>
            <w:color w:val="0066CC"/>
            <w:sz w:val="24"/>
            <w:szCs w:val="24"/>
            <w:u w:val="none"/>
          </w:rPr>
          <w:t>D.M. 741/2017</w:t>
        </w:r>
      </w:hyperlink>
      <w:r>
        <w:rPr>
          <w:rFonts w:ascii="Times New Roman" w:hAnsi="Times New Roman" w:cs="Times New Roman"/>
          <w:color w:val="19191A"/>
          <w:sz w:val="24"/>
          <w:szCs w:val="24"/>
        </w:rPr>
        <w:t>.</w:t>
      </w:r>
    </w:p>
    <w:p w:rsidR="00CB3A26" w:rsidRDefault="00CB3A26" w:rsidP="00CB3A2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color w:val="19191A"/>
          <w:sz w:val="24"/>
          <w:szCs w:val="24"/>
        </w:rPr>
        <w:t>Per i candidati con altri bisogni educativi speciali, formalmente individuati dal consiglio di classe, che non rientrano nelle tutele della L. 170/2010 e della L. 104/1992 non è prevista alcuna misura dispensativa in sede di esame, mentre è assicurato l’utilizzo degli strumenti compensativi già previsti dal Piano didattico personalizzato.</w:t>
      </w:r>
    </w:p>
    <w:p w:rsidR="00F2047F" w:rsidRDefault="00F2047F"/>
    <w:sectPr w:rsidR="00F20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C5073"/>
    <w:multiLevelType w:val="hybridMultilevel"/>
    <w:tmpl w:val="DEB8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23"/>
    <w:rsid w:val="000D3323"/>
    <w:rsid w:val="00CB3A26"/>
    <w:rsid w:val="00F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BB78-5741-4299-BEF8-93E8AA1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A26"/>
    <w:pPr>
      <w:spacing w:after="200" w:line="276" w:lineRule="auto"/>
    </w:pPr>
    <w:rPr>
      <w:rFonts w:ascii="Calibri" w:eastAsia="Times New Roman" w:hAnsi="Calibri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3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ur.gov.it/documents/20182/0/DM+741_2017.pdf/f7768e43-fb00-447d-8f27-8f4f584f2f8f?version=1.0&amp;t=1507659515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2</cp:revision>
  <dcterms:created xsi:type="dcterms:W3CDTF">2022-05-27T08:53:00Z</dcterms:created>
  <dcterms:modified xsi:type="dcterms:W3CDTF">2022-05-27T08:54:00Z</dcterms:modified>
</cp:coreProperties>
</file>